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070" w:rsidRDefault="00C20C96" w:rsidP="00F54072">
      <w:pPr>
        <w:pStyle w:val="a4"/>
        <w:spacing w:after="240"/>
        <w:jc w:val="center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r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>КАРТА РИСКОВ</w:t>
      </w:r>
      <w:r w:rsidR="00E11E87"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br/>
        <w:t>нарушения антимонопольного законодательства</w:t>
      </w:r>
      <w:r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</w:t>
      </w:r>
      <w:r w:rsidR="00E11E87"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в </w:t>
      </w:r>
      <w:r w:rsidR="00E11E87" w:rsidRPr="00CC0672">
        <w:rPr>
          <w:rFonts w:ascii="Times New Roman" w:hAnsi="Times New Roman" w:cs="Times New Roman"/>
          <w:b/>
          <w:spacing w:val="-10"/>
          <w:sz w:val="28"/>
          <w:szCs w:val="28"/>
        </w:rPr>
        <w:t>управе Донского района</w:t>
      </w:r>
      <w:r w:rsidR="00E11E87"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города Москвы на 202</w:t>
      </w:r>
      <w:r w:rsidR="00CC0672"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>6</w:t>
      </w:r>
      <w:r w:rsidR="00E11E87" w:rsidRPr="00CC0672">
        <w:rPr>
          <w:rFonts w:ascii="Times New Roman" w:eastAsia="Calibri" w:hAnsi="Times New Roman" w:cs="Times New Roman"/>
          <w:b/>
          <w:spacing w:val="-10"/>
          <w:sz w:val="28"/>
          <w:szCs w:val="28"/>
        </w:rPr>
        <w:t xml:space="preserve"> год</w:t>
      </w:r>
      <w:bookmarkStart w:id="0" w:name="P343"/>
      <w:bookmarkEnd w:id="0"/>
    </w:p>
    <w:tbl>
      <w:tblPr>
        <w:tblW w:w="15691" w:type="dxa"/>
        <w:tblInd w:w="93" w:type="dxa"/>
        <w:tblLook w:val="04A0" w:firstRow="1" w:lastRow="0" w:firstColumn="1" w:lastColumn="0" w:noHBand="0" w:noVBand="1"/>
      </w:tblPr>
      <w:tblGrid>
        <w:gridCol w:w="538"/>
        <w:gridCol w:w="1000"/>
        <w:gridCol w:w="3175"/>
        <w:gridCol w:w="5524"/>
        <w:gridCol w:w="2551"/>
        <w:gridCol w:w="1293"/>
        <w:gridCol w:w="1610"/>
      </w:tblGrid>
      <w:tr w:rsidR="00F54072" w:rsidRPr="00234DC1" w:rsidTr="00C6592C">
        <w:trPr>
          <w:trHeight w:val="7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№ п/п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Уровень риска</w:t>
            </w:r>
          </w:p>
        </w:tc>
        <w:tc>
          <w:tcPr>
            <w:tcW w:w="3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Риск нарушения антимонопольного законодательства</w:t>
            </w:r>
          </w:p>
        </w:tc>
        <w:tc>
          <w:tcPr>
            <w:tcW w:w="5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Причины и условия возникновения (описание)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Общие меры по минимизации и устранению рисков (согласно карте рисков)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Наличие / отсутствие остаточных рисков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b/>
                <w:bCs/>
                <w:spacing w:val="-10"/>
                <w:lang w:eastAsia="ru-RU"/>
              </w:rPr>
              <w:t>Вероятность повторного возникновения рисков</w:t>
            </w:r>
          </w:p>
        </w:tc>
      </w:tr>
      <w:tr w:rsidR="00F54072" w:rsidRPr="00234DC1" w:rsidTr="00C6592C">
        <w:trPr>
          <w:trHeight w:val="2677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Нарушения при осуществлении закупок товаров, работ и услуг для обеспечения государственных нужд путем включения в извещение об осуществлении закупки товаров, работ и услуг требований, повлекших нарушение антимонопольного законодательства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Включение в описание объекта закупки требований и указаний в отношении товарных знаков, знаков обслуживания, фирменных наименований, патентов, полезных моделей, промышленных образцов,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наименования места происхождения товара или наименования производителя, требований к товарам, информации, работам, услугам при условии, если такие требования влекут за собой ограничение количества участников закупки.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2. Нарушения порядка определения и обоснования начальной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(максимальной) цены контракта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Контроль процесса подготовки документов закупки на стадии согласования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низкая</w:t>
            </w:r>
          </w:p>
        </w:tc>
      </w:tr>
      <w:tr w:rsidR="00F54072" w:rsidRPr="00234DC1" w:rsidTr="00C6592C">
        <w:trPr>
          <w:trHeight w:val="189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Принятие актов и осуществление действий (бездействие), которые приводят или могут привести к недопущению, ограничению, устранению конкуренции, за исключением предусмотренных федеральными законами случаев принятия актов и (или) осуществления таких действий (бездействия)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Введение ограничений в отношении создания хозяйствующих субъектов, а также установление запретов или введение ограничений в отношении осуществления отдельных видов деятельности или производства определенных видов товаров.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2. Необоснованное препятствование осуществлению деятельности хозяйствующих субъектов.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З. Установление ограничений прав хозяйствующих субъектов на продажу, покупку, иное приобретение, обмен товаров.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4. Дача хозяйствующим субъектам указаний о первоочередных поставках товаров для определенной категории покупателей (заказчиков) или о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заключении в приоритетном порядке договоров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 xml:space="preserve"> 5. Установление для приобретателей товаров ограничений выбора хозяйствующих субъектов, которые предоставляют такие товары.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6. Предоставление хозяйствующему субъекту доступа к информации в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приоритетном порядке.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7. Предоставление государственной преференции.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8. Создание дискриминационных условий.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9. Установление и (или) взимание не предусмотренных законодательством РФ платежей при предоставлении государственных услуг, а также услуг, которые являются необходимыми и обязательными для предоставления государственных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1. Совершенствование системы контроля за соблюдением действующего антимонопольного законодательства.</w:t>
            </w:r>
          </w:p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2. Анализ выявленных нарушений антимонопольного законодательства.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З. Анализ нормативных правовых актов и проектов нормативных правовых актов, при необходимости — инициирование внесения в них изменений и дополнений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4. Мониторинг и анализ практики применения антимонопольного законодательства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низкая</w:t>
            </w:r>
          </w:p>
        </w:tc>
      </w:tr>
      <w:tr w:rsidR="00F54072" w:rsidRPr="00234DC1" w:rsidTr="00C6592C">
        <w:trPr>
          <w:trHeight w:val="189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Принятие решения, нарушающего единообразие практики органа исполнительной власти города Москвы, которое приводит или может привести к недопущению, ограничению или устранению конкуренции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Недостаточный уровень внутреннего контроля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Проведение анализа ранее принятых решений.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2 Выработка механизмов обеспечения единой практики принятия решений.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3. Совершенствование системы внутреннего контроля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низкая</w:t>
            </w:r>
          </w:p>
        </w:tc>
      </w:tr>
      <w:tr w:rsidR="00F54072" w:rsidRPr="00234DC1" w:rsidTr="00C6592C">
        <w:trPr>
          <w:trHeight w:val="1890"/>
        </w:trPr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низкий</w:t>
            </w:r>
          </w:p>
        </w:tc>
        <w:tc>
          <w:tcPr>
            <w:tcW w:w="3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Нарушения требований организации и проведения конкурса по отбору управляющей организации для управления многоквартирным домом</w:t>
            </w: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Не размещение на официальном сайте торгов извещения о проведении конкурса, конкурсной документации.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 xml:space="preserve">2. Включение в конкурсную документацию требования о </w:t>
            </w:r>
            <w:proofErr w:type="spellStart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предосталвении</w:t>
            </w:r>
            <w:proofErr w:type="spellEnd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претендентами документов, не предусмотренных Правилами.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3. Необоснованное отклонение заявки участника конкурса.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 xml:space="preserve">4. Нарушение </w:t>
            </w:r>
            <w:proofErr w:type="spellStart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устанволенных</w:t>
            </w:r>
            <w:proofErr w:type="spellEnd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Правилами сроков размещения протоколов, составленных в ходе проведения конкурса, на официальном сайте торгов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Применение положений законодательства о конкурсе по отбору управляющей организации для управления МКД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2. Анализ правоприменительной практики деятельности управы Донского района города Москвы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3. Анализ нормативных правовых актов, устанавливающих обязательные требований для управы Донского района города Москвы при проведении конкурса по отбору управляющей организации для управления МКД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низкая</w:t>
            </w:r>
          </w:p>
        </w:tc>
      </w:tr>
      <w:tr w:rsidR="00F54072" w:rsidRPr="00234DC1" w:rsidTr="00C6592C">
        <w:trPr>
          <w:trHeight w:val="1890"/>
        </w:trPr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lastRenderedPageBreak/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низкий</w:t>
            </w:r>
          </w:p>
        </w:tc>
        <w:tc>
          <w:tcPr>
            <w:tcW w:w="3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Нарушение срока проведения открытого конкурса по отбору управляющей организации для управления </w:t>
            </w:r>
            <w:proofErr w:type="spellStart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многоквартирнными</w:t>
            </w:r>
            <w:proofErr w:type="spellEnd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домами</w:t>
            </w:r>
          </w:p>
        </w:tc>
        <w:tc>
          <w:tcPr>
            <w:tcW w:w="5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1. Отсутствие технической документации на многоквартирный дом с целью указания точных сведений для расчета стоимости за содержание и текущий ремонт общего имущества при заключении договора с победителем конкурса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1. Не реже, чем каждые две недели после ввода многоквартирного дома в эксплуатацию направлять запрос в адрес застройщика письмо с требованиями о </w:t>
            </w:r>
            <w:proofErr w:type="spellStart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предосталвении</w:t>
            </w:r>
            <w:proofErr w:type="spellEnd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технической </w:t>
            </w:r>
            <w:proofErr w:type="spellStart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догкументации</w:t>
            </w:r>
            <w:proofErr w:type="spellEnd"/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 xml:space="preserve"> на МКД</w:t>
            </w: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br/>
              <w:t>2. В случае отсутствия ответа со стороны застройщика провести конкурсную процедуру не позднее чем в течение сорока дней со дня информирования о торгах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4072" w:rsidRPr="00234DC1" w:rsidRDefault="00F54072" w:rsidP="00C659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pPr>
            <w:r w:rsidRPr="00234DC1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t>отсутствует</w:t>
            </w:r>
          </w:p>
        </w:tc>
      </w:tr>
    </w:tbl>
    <w:p w:rsidR="00F54072" w:rsidRPr="00F54072" w:rsidRDefault="00F54072" w:rsidP="00F54072">
      <w:pPr>
        <w:pStyle w:val="a4"/>
        <w:spacing w:after="240"/>
        <w:rPr>
          <w:rFonts w:ascii="Times New Roman" w:eastAsia="Calibri" w:hAnsi="Times New Roman" w:cs="Times New Roman"/>
          <w:b/>
          <w:spacing w:val="-10"/>
          <w:sz w:val="28"/>
          <w:szCs w:val="28"/>
        </w:rPr>
      </w:pPr>
      <w:bookmarkStart w:id="1" w:name="_GoBack"/>
      <w:bookmarkEnd w:id="1"/>
    </w:p>
    <w:sectPr w:rsidR="00F54072" w:rsidRPr="00F54072" w:rsidSect="00E11E87">
      <w:pgSz w:w="16838" w:h="11905" w:orient="landscape"/>
      <w:pgMar w:top="851" w:right="567" w:bottom="851" w:left="567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E16DA"/>
    <w:multiLevelType w:val="hybridMultilevel"/>
    <w:tmpl w:val="507A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502A"/>
    <w:rsid w:val="000F6F3A"/>
    <w:rsid w:val="00105AB6"/>
    <w:rsid w:val="00117F52"/>
    <w:rsid w:val="001B50A2"/>
    <w:rsid w:val="001C6741"/>
    <w:rsid w:val="001F34FD"/>
    <w:rsid w:val="0021502A"/>
    <w:rsid w:val="00277033"/>
    <w:rsid w:val="00294700"/>
    <w:rsid w:val="002C3E25"/>
    <w:rsid w:val="00304835"/>
    <w:rsid w:val="00337E6E"/>
    <w:rsid w:val="003B6C7F"/>
    <w:rsid w:val="003D56BA"/>
    <w:rsid w:val="00456CBE"/>
    <w:rsid w:val="00467F7A"/>
    <w:rsid w:val="004E7AAB"/>
    <w:rsid w:val="004F03B3"/>
    <w:rsid w:val="00533102"/>
    <w:rsid w:val="00546D73"/>
    <w:rsid w:val="00557C83"/>
    <w:rsid w:val="00634DEE"/>
    <w:rsid w:val="00660467"/>
    <w:rsid w:val="006D44ED"/>
    <w:rsid w:val="006E6479"/>
    <w:rsid w:val="00772209"/>
    <w:rsid w:val="007E65F6"/>
    <w:rsid w:val="008022A9"/>
    <w:rsid w:val="008235F1"/>
    <w:rsid w:val="00863070"/>
    <w:rsid w:val="00926F43"/>
    <w:rsid w:val="009D3A49"/>
    <w:rsid w:val="00A3786E"/>
    <w:rsid w:val="00A56D60"/>
    <w:rsid w:val="00AA0715"/>
    <w:rsid w:val="00AF1980"/>
    <w:rsid w:val="00B0025F"/>
    <w:rsid w:val="00B638EB"/>
    <w:rsid w:val="00C20C96"/>
    <w:rsid w:val="00CC0672"/>
    <w:rsid w:val="00D14C49"/>
    <w:rsid w:val="00D319AE"/>
    <w:rsid w:val="00DA0CAF"/>
    <w:rsid w:val="00DC00CD"/>
    <w:rsid w:val="00E113AC"/>
    <w:rsid w:val="00E11E87"/>
    <w:rsid w:val="00E90190"/>
    <w:rsid w:val="00F54072"/>
    <w:rsid w:val="00F578AA"/>
    <w:rsid w:val="00FA2E38"/>
    <w:rsid w:val="00FB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D0BE8"/>
  <w15:docId w15:val="{B598A41F-A503-4B98-BADF-C16345B64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4700"/>
  </w:style>
  <w:style w:type="paragraph" w:styleId="4">
    <w:name w:val="heading 4"/>
    <w:basedOn w:val="a"/>
    <w:next w:val="a"/>
    <w:link w:val="40"/>
    <w:qFormat/>
    <w:rsid w:val="006D44E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502A"/>
    <w:pPr>
      <w:ind w:left="720"/>
      <w:contextualSpacing/>
    </w:pPr>
  </w:style>
  <w:style w:type="paragraph" w:styleId="a4">
    <w:name w:val="No Spacing"/>
    <w:qFormat/>
    <w:rsid w:val="00A3786E"/>
    <w:pPr>
      <w:spacing w:after="0" w:line="240" w:lineRule="auto"/>
    </w:pPr>
    <w:rPr>
      <w:rFonts w:eastAsiaTheme="minorEastAsia"/>
      <w:lang w:eastAsia="ru-RU"/>
    </w:rPr>
  </w:style>
  <w:style w:type="character" w:customStyle="1" w:styleId="40">
    <w:name w:val="Заголовок 4 Знак"/>
    <w:basedOn w:val="a0"/>
    <w:link w:val="4"/>
    <w:rsid w:val="006D44E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longcopy">
    <w:name w:val="long_copy"/>
    <w:basedOn w:val="a0"/>
    <w:rsid w:val="002C3E25"/>
  </w:style>
  <w:style w:type="paragraph" w:customStyle="1" w:styleId="ConsPlusNormal">
    <w:name w:val="ConsPlusNormal"/>
    <w:rsid w:val="00DC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DC00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0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0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</dc:creator>
  <cp:keywords/>
  <cp:lastModifiedBy>Зейналов Магомедага Арифович</cp:lastModifiedBy>
  <cp:revision>24</cp:revision>
  <cp:lastPrinted>2025-01-10T08:32:00Z</cp:lastPrinted>
  <dcterms:created xsi:type="dcterms:W3CDTF">2020-11-16T08:40:00Z</dcterms:created>
  <dcterms:modified xsi:type="dcterms:W3CDTF">2026-03-18T05:20:00Z</dcterms:modified>
</cp:coreProperties>
</file>